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14B0" w14:textId="77777777" w:rsidR="00105E33" w:rsidRDefault="00D756E9">
      <w:pPr>
        <w:spacing w:after="9" w:line="259" w:lineRule="auto"/>
        <w:ind w:left="0" w:right="-285" w:firstLine="0"/>
        <w:jc w:val="left"/>
      </w:pPr>
      <w:r>
        <w:rPr>
          <w:rFonts w:ascii="Calibri" w:eastAsia="Calibri" w:hAnsi="Calibri" w:cs="Calibri"/>
          <w:noProof/>
        </w:rPr>
        <mc:AlternateContent>
          <mc:Choice Requires="wpg">
            <w:drawing>
              <wp:inline distT="0" distB="0" distL="0" distR="0" wp14:anchorId="5BF61073" wp14:editId="09E1E3D2">
                <wp:extent cx="6323026" cy="1360678"/>
                <wp:effectExtent l="0" t="0" r="0" b="0"/>
                <wp:docPr id="2203" name="Group 2203"/>
                <wp:cNvGraphicFramePr/>
                <a:graphic xmlns:a="http://schemas.openxmlformats.org/drawingml/2006/main">
                  <a:graphicData uri="http://schemas.microsoft.com/office/word/2010/wordprocessingGroup">
                    <wpg:wgp>
                      <wpg:cNvGrpSpPr/>
                      <wpg:grpSpPr>
                        <a:xfrm>
                          <a:off x="0" y="0"/>
                          <a:ext cx="6323026" cy="1360678"/>
                          <a:chOff x="0" y="0"/>
                          <a:chExt cx="6323026" cy="1360678"/>
                        </a:xfrm>
                      </wpg:grpSpPr>
                      <wps:wsp>
                        <wps:cNvPr id="9" name="Rectangle 9"/>
                        <wps:cNvSpPr/>
                        <wps:spPr>
                          <a:xfrm>
                            <a:off x="0" y="6656"/>
                            <a:ext cx="38511" cy="170529"/>
                          </a:xfrm>
                          <a:prstGeom prst="rect">
                            <a:avLst/>
                          </a:prstGeom>
                          <a:ln>
                            <a:noFill/>
                          </a:ln>
                        </wps:spPr>
                        <wps:txbx>
                          <w:txbxContent>
                            <w:p w14:paraId="39EDB32D" w14:textId="77777777" w:rsidR="00105E33" w:rsidRDefault="00D756E9">
                              <w:pPr>
                                <w:spacing w:after="160" w:line="259" w:lineRule="auto"/>
                                <w:ind w:left="0"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 name="Rectangle 10"/>
                        <wps:cNvSpPr/>
                        <wps:spPr>
                          <a:xfrm>
                            <a:off x="1475816" y="233891"/>
                            <a:ext cx="4446228" cy="200737"/>
                          </a:xfrm>
                          <a:prstGeom prst="rect">
                            <a:avLst/>
                          </a:prstGeom>
                          <a:ln>
                            <a:noFill/>
                          </a:ln>
                        </wps:spPr>
                        <wps:txbx>
                          <w:txbxContent>
                            <w:p w14:paraId="5D0CA2D1" w14:textId="77777777" w:rsidR="00105E33" w:rsidRDefault="00D756E9">
                              <w:pPr>
                                <w:spacing w:after="160" w:line="259" w:lineRule="auto"/>
                                <w:ind w:left="0" w:right="0" w:firstLine="0"/>
                                <w:jc w:val="left"/>
                              </w:pPr>
                              <w:r>
                                <w:rPr>
                                  <w:b/>
                                  <w:sz w:val="26"/>
                                </w:rPr>
                                <w:t>EÖTVÖS LORÁND TUDOMÁNYEGYETEM</w:t>
                              </w:r>
                            </w:p>
                          </w:txbxContent>
                        </wps:txbx>
                        <wps:bodyPr horzOverflow="overflow" vert="horz" lIns="0" tIns="0" rIns="0" bIns="0" rtlCol="0">
                          <a:noAutofit/>
                        </wps:bodyPr>
                      </wps:wsp>
                      <wps:wsp>
                        <wps:cNvPr id="11" name="Rectangle 11"/>
                        <wps:cNvSpPr/>
                        <wps:spPr>
                          <a:xfrm>
                            <a:off x="4823791" y="233891"/>
                            <a:ext cx="54727" cy="200737"/>
                          </a:xfrm>
                          <a:prstGeom prst="rect">
                            <a:avLst/>
                          </a:prstGeom>
                          <a:ln>
                            <a:noFill/>
                          </a:ln>
                        </wps:spPr>
                        <wps:txbx>
                          <w:txbxContent>
                            <w:p w14:paraId="4DEB4A86" w14:textId="77777777" w:rsidR="00105E33" w:rsidRDefault="00D756E9">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12" name="Rectangle 12"/>
                        <wps:cNvSpPr/>
                        <wps:spPr>
                          <a:xfrm>
                            <a:off x="0" y="426151"/>
                            <a:ext cx="60808" cy="223041"/>
                          </a:xfrm>
                          <a:prstGeom prst="rect">
                            <a:avLst/>
                          </a:prstGeom>
                          <a:ln>
                            <a:noFill/>
                          </a:ln>
                        </wps:spPr>
                        <wps:txbx>
                          <w:txbxContent>
                            <w:p w14:paraId="72DB8F36" w14:textId="77777777" w:rsidR="00105E33" w:rsidRDefault="00D756E9">
                              <w:pPr>
                                <w:spacing w:after="160" w:line="259" w:lineRule="auto"/>
                                <w:ind w:left="0" w:right="0" w:firstLine="0"/>
                                <w:jc w:val="left"/>
                              </w:pPr>
                              <w:r>
                                <w:rPr>
                                  <w:b/>
                                  <w:sz w:val="29"/>
                                </w:rPr>
                                <w:t xml:space="preserve"> </w:t>
                              </w:r>
                            </w:p>
                          </w:txbxContent>
                        </wps:txbx>
                        <wps:bodyPr horzOverflow="overflow" vert="horz" lIns="0" tIns="0" rIns="0" bIns="0" rtlCol="0">
                          <a:noAutofit/>
                        </wps:bodyPr>
                      </wps:wsp>
                      <wps:wsp>
                        <wps:cNvPr id="13" name="Rectangle 13"/>
                        <wps:cNvSpPr/>
                        <wps:spPr>
                          <a:xfrm>
                            <a:off x="1612976" y="630131"/>
                            <a:ext cx="4174783" cy="200737"/>
                          </a:xfrm>
                          <a:prstGeom prst="rect">
                            <a:avLst/>
                          </a:prstGeom>
                          <a:ln>
                            <a:noFill/>
                          </a:ln>
                        </wps:spPr>
                        <wps:txbx>
                          <w:txbxContent>
                            <w:p w14:paraId="0770177E" w14:textId="77777777" w:rsidR="00105E33" w:rsidRDefault="00D756E9">
                              <w:pPr>
                                <w:spacing w:after="160" w:line="259" w:lineRule="auto"/>
                                <w:ind w:left="0" w:right="0" w:firstLine="0"/>
                                <w:jc w:val="left"/>
                              </w:pPr>
                              <w:r>
                                <w:rPr>
                                  <w:b/>
                                  <w:sz w:val="26"/>
                                </w:rPr>
                                <w:t xml:space="preserve">EGYETEMI HALLGATÓI SZOCIÁLIS ÉS </w:t>
                              </w:r>
                            </w:p>
                          </w:txbxContent>
                        </wps:txbx>
                        <wps:bodyPr horzOverflow="overflow" vert="horz" lIns="0" tIns="0" rIns="0" bIns="0" rtlCol="0">
                          <a:noAutofit/>
                        </wps:bodyPr>
                      </wps:wsp>
                      <wps:wsp>
                        <wps:cNvPr id="14" name="Rectangle 14"/>
                        <wps:cNvSpPr/>
                        <wps:spPr>
                          <a:xfrm>
                            <a:off x="2201621" y="816440"/>
                            <a:ext cx="2553773" cy="200737"/>
                          </a:xfrm>
                          <a:prstGeom prst="rect">
                            <a:avLst/>
                          </a:prstGeom>
                          <a:ln>
                            <a:noFill/>
                          </a:ln>
                        </wps:spPr>
                        <wps:txbx>
                          <w:txbxContent>
                            <w:p w14:paraId="68318755" w14:textId="77777777" w:rsidR="00105E33" w:rsidRDefault="00D756E9">
                              <w:pPr>
                                <w:spacing w:after="160" w:line="259" w:lineRule="auto"/>
                                <w:ind w:left="0" w:right="0" w:firstLine="0"/>
                                <w:jc w:val="left"/>
                              </w:pPr>
                              <w:r>
                                <w:rPr>
                                  <w:b/>
                                  <w:sz w:val="26"/>
                                </w:rPr>
                                <w:t>ÖSZTÖNDÍJBIZOTTSÁG</w:t>
                              </w:r>
                            </w:p>
                          </w:txbxContent>
                        </wps:txbx>
                        <wps:bodyPr horzOverflow="overflow" vert="horz" lIns="0" tIns="0" rIns="0" bIns="0" rtlCol="0">
                          <a:noAutofit/>
                        </wps:bodyPr>
                      </wps:wsp>
                      <wps:wsp>
                        <wps:cNvPr id="15" name="Rectangle 15"/>
                        <wps:cNvSpPr/>
                        <wps:spPr>
                          <a:xfrm>
                            <a:off x="4125417" y="816440"/>
                            <a:ext cx="54727" cy="200737"/>
                          </a:xfrm>
                          <a:prstGeom prst="rect">
                            <a:avLst/>
                          </a:prstGeom>
                          <a:ln>
                            <a:noFill/>
                          </a:ln>
                        </wps:spPr>
                        <wps:txbx>
                          <w:txbxContent>
                            <w:p w14:paraId="5A79482B" w14:textId="77777777" w:rsidR="00105E33" w:rsidRDefault="00D756E9">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16" name="Rectangle 16"/>
                        <wps:cNvSpPr/>
                        <wps:spPr>
                          <a:xfrm>
                            <a:off x="0" y="992754"/>
                            <a:ext cx="42565" cy="156128"/>
                          </a:xfrm>
                          <a:prstGeom prst="rect">
                            <a:avLst/>
                          </a:prstGeom>
                          <a:ln>
                            <a:noFill/>
                          </a:ln>
                        </wps:spPr>
                        <wps:txbx>
                          <w:txbxContent>
                            <w:p w14:paraId="19428BF0" w14:textId="77777777" w:rsidR="00105E33" w:rsidRDefault="00D756E9">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7" name="Rectangle 17"/>
                        <wps:cNvSpPr/>
                        <wps:spPr>
                          <a:xfrm>
                            <a:off x="0" y="1136010"/>
                            <a:ext cx="42565" cy="156128"/>
                          </a:xfrm>
                          <a:prstGeom prst="rect">
                            <a:avLst/>
                          </a:prstGeom>
                          <a:ln>
                            <a:noFill/>
                          </a:ln>
                        </wps:spPr>
                        <wps:txbx>
                          <w:txbxContent>
                            <w:p w14:paraId="639D0602" w14:textId="77777777" w:rsidR="00105E33" w:rsidRDefault="00D756E9">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8" name="Rectangle 18"/>
                        <wps:cNvSpPr/>
                        <wps:spPr>
                          <a:xfrm>
                            <a:off x="0" y="1269299"/>
                            <a:ext cx="21283" cy="78063"/>
                          </a:xfrm>
                          <a:prstGeom prst="rect">
                            <a:avLst/>
                          </a:prstGeom>
                          <a:ln>
                            <a:noFill/>
                          </a:ln>
                        </wps:spPr>
                        <wps:txbx>
                          <w:txbxContent>
                            <w:p w14:paraId="049A9E6F" w14:textId="77777777" w:rsidR="00105E33" w:rsidRDefault="00D756E9">
                              <w:pPr>
                                <w:spacing w:after="160" w:line="259" w:lineRule="auto"/>
                                <w:ind w:left="0" w:right="0" w:firstLine="0"/>
                                <w:jc w:val="left"/>
                              </w:pPr>
                              <w:r>
                                <w:rPr>
                                  <w:b/>
                                  <w:sz w:val="10"/>
                                </w:rPr>
                                <w:t xml:space="preserve"> </w:t>
                              </w:r>
                            </w:p>
                          </w:txbxContent>
                        </wps:txbx>
                        <wps:bodyPr horzOverflow="overflow" vert="horz" lIns="0" tIns="0" rIns="0" bIns="0" rtlCol="0">
                          <a:noAutofit/>
                        </wps:bodyPr>
                      </wps:wsp>
                      <wps:wsp>
                        <wps:cNvPr id="184" name="Shape 184"/>
                        <wps:cNvSpPr/>
                        <wps:spPr>
                          <a:xfrm>
                            <a:off x="271475" y="1360678"/>
                            <a:ext cx="5797551" cy="0"/>
                          </a:xfrm>
                          <a:custGeom>
                            <a:avLst/>
                            <a:gdLst/>
                            <a:ahLst/>
                            <a:cxnLst/>
                            <a:rect l="0" t="0" r="0" b="0"/>
                            <a:pathLst>
                              <a:path w="5797551">
                                <a:moveTo>
                                  <a:pt x="0" y="0"/>
                                </a:moveTo>
                                <a:lnTo>
                                  <a:pt x="5797551" y="0"/>
                                </a:lnTo>
                              </a:path>
                            </a:pathLst>
                          </a:custGeom>
                          <a:ln w="1828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6" name="Picture 186"/>
                          <pic:cNvPicPr/>
                        </pic:nvPicPr>
                        <pic:blipFill>
                          <a:blip r:embed="rId10"/>
                          <a:stretch>
                            <a:fillRect/>
                          </a:stretch>
                        </pic:blipFill>
                        <pic:spPr>
                          <a:xfrm>
                            <a:off x="74625" y="0"/>
                            <a:ext cx="1082040" cy="1082040"/>
                          </a:xfrm>
                          <a:prstGeom prst="rect">
                            <a:avLst/>
                          </a:prstGeom>
                        </pic:spPr>
                      </pic:pic>
                      <pic:pic xmlns:pic="http://schemas.openxmlformats.org/drawingml/2006/picture">
                        <pic:nvPicPr>
                          <pic:cNvPr id="188" name="Picture 188"/>
                          <pic:cNvPicPr/>
                        </pic:nvPicPr>
                        <pic:blipFill>
                          <a:blip r:embed="rId11"/>
                          <a:stretch>
                            <a:fillRect/>
                          </a:stretch>
                        </pic:blipFill>
                        <pic:spPr>
                          <a:xfrm>
                            <a:off x="5240986" y="0"/>
                            <a:ext cx="1082040" cy="1082040"/>
                          </a:xfrm>
                          <a:prstGeom prst="rect">
                            <a:avLst/>
                          </a:prstGeom>
                        </pic:spPr>
                      </pic:pic>
                    </wpg:wgp>
                  </a:graphicData>
                </a:graphic>
              </wp:inline>
            </w:drawing>
          </mc:Choice>
          <mc:Fallback xmlns:a="http://schemas.openxmlformats.org/drawingml/2006/main" xmlns:pic="http://schemas.openxmlformats.org/drawingml/2006/picture">
            <w:pict>
              <v:group id="Group 2203" style="width:497.876pt;height:107.14pt;mso-position-horizontal-relative:char;mso-position-vertical-relative:line" coordsize="63230,13606">
                <v:rect id="Rectangle 9" style="position:absolute;width:385;height:1705;left:0;top:66;" filled="f" stroked="f">
                  <v:textbox inset="0,0,0,0">
                    <w:txbxContent>
                      <w:p>
                        <w:pPr>
                          <w:spacing w:before="0" w:after="160" w:line="259" w:lineRule="auto"/>
                          <w:ind w:left="0" w:right="0" w:firstLine="0"/>
                          <w:jc w:val="left"/>
                        </w:pPr>
                        <w:r>
                          <w:rPr>
                            <w:rFonts w:ascii="Times New Roman" w:hAnsi="Times New Roman" w:eastAsia="Times New Roman" w:cs="Times New Roman"/>
                            <w:sz w:val="18"/>
                          </w:rPr>
                          <w:t xml:space="preserve"> </w:t>
                        </w:r>
                      </w:p>
                    </w:txbxContent>
                  </v:textbox>
                </v:rect>
                <v:rect id="Rectangle 10" style="position:absolute;width:44462;height:2007;left:14758;top:2338;" filled="f" stroked="f">
                  <v:textbox inset="0,0,0,0">
                    <w:txbxContent>
                      <w:p>
                        <w:pPr>
                          <w:spacing w:before="0" w:after="160" w:line="259" w:lineRule="auto"/>
                          <w:ind w:left="0" w:right="0" w:firstLine="0"/>
                          <w:jc w:val="left"/>
                        </w:pPr>
                        <w:r>
                          <w:rPr>
                            <w:rFonts w:ascii="Garamond" w:hAnsi="Garamond" w:eastAsia="Garamond" w:cs="Garamond"/>
                            <w:b w:val="1"/>
                            <w:sz w:val="26"/>
                          </w:rPr>
                          <w:t xml:space="preserve">EÖTVÖS LORÁND TUDOMÁNYEGYETEM</w:t>
                        </w:r>
                      </w:p>
                    </w:txbxContent>
                  </v:textbox>
                </v:rect>
                <v:rect id="Rectangle 11" style="position:absolute;width:547;height:2007;left:48237;top:2338;" filled="f" stroked="f">
                  <v:textbox inset="0,0,0,0">
                    <w:txbxContent>
                      <w:p>
                        <w:pPr>
                          <w:spacing w:before="0" w:after="160" w:line="259" w:lineRule="auto"/>
                          <w:ind w:left="0" w:right="0" w:firstLine="0"/>
                          <w:jc w:val="left"/>
                        </w:pPr>
                        <w:r>
                          <w:rPr>
                            <w:rFonts w:ascii="Garamond" w:hAnsi="Garamond" w:eastAsia="Garamond" w:cs="Garamond"/>
                            <w:b w:val="1"/>
                            <w:sz w:val="26"/>
                          </w:rPr>
                          <w:t xml:space="preserve"> </w:t>
                        </w:r>
                      </w:p>
                    </w:txbxContent>
                  </v:textbox>
                </v:rect>
                <v:rect id="Rectangle 12" style="position:absolute;width:608;height:2230;left:0;top:4261;" filled="f" stroked="f">
                  <v:textbox inset="0,0,0,0">
                    <w:txbxContent>
                      <w:p>
                        <w:pPr>
                          <w:spacing w:before="0" w:after="160" w:line="259" w:lineRule="auto"/>
                          <w:ind w:left="0" w:right="0" w:firstLine="0"/>
                          <w:jc w:val="left"/>
                        </w:pPr>
                        <w:r>
                          <w:rPr>
                            <w:rFonts w:ascii="Garamond" w:hAnsi="Garamond" w:eastAsia="Garamond" w:cs="Garamond"/>
                            <w:b w:val="1"/>
                            <w:sz w:val="29"/>
                          </w:rPr>
                          <w:t xml:space="preserve"> </w:t>
                        </w:r>
                      </w:p>
                    </w:txbxContent>
                  </v:textbox>
                </v:rect>
                <v:rect id="Rectangle 13" style="position:absolute;width:41747;height:2007;left:16129;top:6301;" filled="f" stroked="f">
                  <v:textbox inset="0,0,0,0">
                    <w:txbxContent>
                      <w:p>
                        <w:pPr>
                          <w:spacing w:before="0" w:after="160" w:line="259" w:lineRule="auto"/>
                          <w:ind w:left="0" w:right="0" w:firstLine="0"/>
                          <w:jc w:val="left"/>
                        </w:pPr>
                        <w:r>
                          <w:rPr>
                            <w:rFonts w:ascii="Garamond" w:hAnsi="Garamond" w:eastAsia="Garamond" w:cs="Garamond"/>
                            <w:b w:val="1"/>
                            <w:sz w:val="26"/>
                          </w:rPr>
                          <w:t xml:space="preserve">EGYETEMI HALLGATÓI SZOCIÁLIS ÉS </w:t>
                        </w:r>
                      </w:p>
                    </w:txbxContent>
                  </v:textbox>
                </v:rect>
                <v:rect id="Rectangle 14" style="position:absolute;width:25537;height:2007;left:22016;top:8164;" filled="f" stroked="f">
                  <v:textbox inset="0,0,0,0">
                    <w:txbxContent>
                      <w:p>
                        <w:pPr>
                          <w:spacing w:before="0" w:after="160" w:line="259" w:lineRule="auto"/>
                          <w:ind w:left="0" w:right="0" w:firstLine="0"/>
                          <w:jc w:val="left"/>
                        </w:pPr>
                        <w:r>
                          <w:rPr>
                            <w:rFonts w:ascii="Garamond" w:hAnsi="Garamond" w:eastAsia="Garamond" w:cs="Garamond"/>
                            <w:b w:val="1"/>
                            <w:sz w:val="26"/>
                          </w:rPr>
                          <w:t xml:space="preserve">ÖSZTÖNDÍJBIZOTTSÁG</w:t>
                        </w:r>
                      </w:p>
                    </w:txbxContent>
                  </v:textbox>
                </v:rect>
                <v:rect id="Rectangle 15" style="position:absolute;width:547;height:2007;left:41254;top:8164;" filled="f" stroked="f">
                  <v:textbox inset="0,0,0,0">
                    <w:txbxContent>
                      <w:p>
                        <w:pPr>
                          <w:spacing w:before="0" w:after="160" w:line="259" w:lineRule="auto"/>
                          <w:ind w:left="0" w:right="0" w:firstLine="0"/>
                          <w:jc w:val="left"/>
                        </w:pPr>
                        <w:r>
                          <w:rPr>
                            <w:rFonts w:ascii="Garamond" w:hAnsi="Garamond" w:eastAsia="Garamond" w:cs="Garamond"/>
                            <w:b w:val="1"/>
                            <w:sz w:val="26"/>
                          </w:rPr>
                          <w:t xml:space="preserve"> </w:t>
                        </w:r>
                      </w:p>
                    </w:txbxContent>
                  </v:textbox>
                </v:rect>
                <v:rect id="Rectangle 16" style="position:absolute;width:425;height:1561;left:0;top:9927;" filled="f" stroked="f">
                  <v:textbox inset="0,0,0,0">
                    <w:txbxContent>
                      <w:p>
                        <w:pPr>
                          <w:spacing w:before="0" w:after="160" w:line="259" w:lineRule="auto"/>
                          <w:ind w:left="0" w:right="0" w:firstLine="0"/>
                          <w:jc w:val="left"/>
                        </w:pPr>
                        <w:r>
                          <w:rPr>
                            <w:rFonts w:ascii="Garamond" w:hAnsi="Garamond" w:eastAsia="Garamond" w:cs="Garamond"/>
                            <w:b w:val="1"/>
                            <w:sz w:val="20"/>
                          </w:rPr>
                          <w:t xml:space="preserve"> </w:t>
                        </w:r>
                      </w:p>
                    </w:txbxContent>
                  </v:textbox>
                </v:rect>
                <v:rect id="Rectangle 17" style="position:absolute;width:425;height:1561;left:0;top:11360;" filled="f" stroked="f">
                  <v:textbox inset="0,0,0,0">
                    <w:txbxContent>
                      <w:p>
                        <w:pPr>
                          <w:spacing w:before="0" w:after="160" w:line="259" w:lineRule="auto"/>
                          <w:ind w:left="0" w:right="0" w:firstLine="0"/>
                          <w:jc w:val="left"/>
                        </w:pPr>
                        <w:r>
                          <w:rPr>
                            <w:rFonts w:ascii="Garamond" w:hAnsi="Garamond" w:eastAsia="Garamond" w:cs="Garamond"/>
                            <w:b w:val="1"/>
                            <w:sz w:val="20"/>
                          </w:rPr>
                          <w:t xml:space="preserve"> </w:t>
                        </w:r>
                      </w:p>
                    </w:txbxContent>
                  </v:textbox>
                </v:rect>
                <v:rect id="Rectangle 18" style="position:absolute;width:212;height:780;left:0;top:12692;" filled="f" stroked="f">
                  <v:textbox inset="0,0,0,0">
                    <w:txbxContent>
                      <w:p>
                        <w:pPr>
                          <w:spacing w:before="0" w:after="160" w:line="259" w:lineRule="auto"/>
                          <w:ind w:left="0" w:right="0" w:firstLine="0"/>
                          <w:jc w:val="left"/>
                        </w:pPr>
                        <w:r>
                          <w:rPr>
                            <w:rFonts w:ascii="Garamond" w:hAnsi="Garamond" w:eastAsia="Garamond" w:cs="Garamond"/>
                            <w:b w:val="1"/>
                            <w:sz w:val="10"/>
                          </w:rPr>
                          <w:t xml:space="preserve"> </w:t>
                        </w:r>
                      </w:p>
                    </w:txbxContent>
                  </v:textbox>
                </v:rect>
                <v:shape id="Shape 184" style="position:absolute;width:57975;height:0;left:2714;top:13606;" coordsize="5797551,0" path="m0,0l5797551,0">
                  <v:stroke on="true" weight="1.44pt" color="#000000" joinstyle="round" endcap="flat"/>
                  <v:fill on="false" color="#000000" opacity="0"/>
                </v:shape>
                <v:shape id="Picture 186" style="position:absolute;width:10820;height:10820;left:746;top:0;" filled="f">
                  <v:imagedata r:id="rId12"/>
                </v:shape>
                <v:shape id="Picture 188" style="position:absolute;width:10820;height:10820;left:52409;top:0;" filled="f">
                  <v:imagedata r:id="rId13"/>
                </v:shape>
              </v:group>
            </w:pict>
          </mc:Fallback>
        </mc:AlternateContent>
      </w:r>
    </w:p>
    <w:p w14:paraId="3BAA6773" w14:textId="77777777" w:rsidR="00105E33" w:rsidRDefault="00D756E9">
      <w:pPr>
        <w:spacing w:after="0" w:line="259" w:lineRule="auto"/>
        <w:ind w:left="0" w:right="0" w:firstLine="0"/>
        <w:jc w:val="left"/>
      </w:pPr>
      <w:r>
        <w:rPr>
          <w:b/>
          <w:sz w:val="28"/>
        </w:rPr>
        <w:t xml:space="preserve"> </w:t>
      </w:r>
    </w:p>
    <w:p w14:paraId="134F7382" w14:textId="77777777" w:rsidR="00105E33" w:rsidRDefault="00D756E9">
      <w:pPr>
        <w:spacing w:after="0" w:line="259" w:lineRule="auto"/>
        <w:ind w:left="0" w:right="0" w:firstLine="0"/>
        <w:jc w:val="left"/>
      </w:pPr>
      <w:r>
        <w:rPr>
          <w:b/>
          <w:sz w:val="26"/>
        </w:rPr>
        <w:t xml:space="preserve"> </w:t>
      </w:r>
    </w:p>
    <w:p w14:paraId="6A0EF5B3" w14:textId="77777777" w:rsidR="00105E33" w:rsidRDefault="00D756E9">
      <w:pPr>
        <w:spacing w:after="0" w:line="259" w:lineRule="auto"/>
        <w:ind w:left="458" w:right="43"/>
        <w:jc w:val="center"/>
      </w:pPr>
      <w:r>
        <w:rPr>
          <w:b/>
          <w:sz w:val="28"/>
        </w:rPr>
        <w:t xml:space="preserve">K+I+F PÁLYÁZAT </w:t>
      </w:r>
    </w:p>
    <w:p w14:paraId="5AF4CC10" w14:textId="77777777" w:rsidR="00105E33" w:rsidRDefault="00D756E9">
      <w:pPr>
        <w:spacing w:after="0" w:line="259" w:lineRule="auto"/>
        <w:ind w:left="1959" w:right="0" w:firstLine="0"/>
        <w:jc w:val="left"/>
      </w:pPr>
      <w:r>
        <w:rPr>
          <w:b/>
          <w:sz w:val="28"/>
        </w:rPr>
        <w:t xml:space="preserve">KIEMELKEDŐ, INNOVATÍV FELSŐOKTATÁSI </w:t>
      </w:r>
    </w:p>
    <w:p w14:paraId="7C455B33" w14:textId="77777777" w:rsidR="00105E33" w:rsidRDefault="00D756E9">
      <w:pPr>
        <w:spacing w:after="0" w:line="259" w:lineRule="auto"/>
        <w:ind w:left="458" w:right="0"/>
        <w:jc w:val="center"/>
      </w:pPr>
      <w:r>
        <w:rPr>
          <w:b/>
          <w:sz w:val="28"/>
        </w:rPr>
        <w:t xml:space="preserve">RENDEZVÉNYEK DÍJA  </w:t>
      </w:r>
    </w:p>
    <w:p w14:paraId="0BC8A81F" w14:textId="77777777" w:rsidR="00105E33" w:rsidRDefault="00D756E9">
      <w:pPr>
        <w:spacing w:after="38" w:line="259" w:lineRule="auto"/>
        <w:ind w:left="458" w:right="10"/>
        <w:jc w:val="center"/>
      </w:pPr>
      <w:r>
        <w:rPr>
          <w:b/>
          <w:sz w:val="28"/>
        </w:rPr>
        <w:t xml:space="preserve">PÁLYÁZATI KIÍRÁS </w:t>
      </w:r>
    </w:p>
    <w:p w14:paraId="2BE652A7" w14:textId="77777777" w:rsidR="00105E33" w:rsidRDefault="00D756E9">
      <w:pPr>
        <w:spacing w:after="0" w:line="259" w:lineRule="auto"/>
        <w:ind w:left="0" w:right="0" w:firstLine="0"/>
        <w:jc w:val="left"/>
      </w:pPr>
      <w:r>
        <w:rPr>
          <w:b/>
          <w:sz w:val="35"/>
        </w:rPr>
        <w:t xml:space="preserve"> </w:t>
      </w:r>
    </w:p>
    <w:p w14:paraId="3DFD9CA5" w14:textId="77777777" w:rsidR="00105E33" w:rsidRDefault="00D756E9">
      <w:pPr>
        <w:spacing w:after="148"/>
        <w:ind w:right="2"/>
      </w:pPr>
      <w:r>
        <w:t xml:space="preserve">A pályázat célja elsősorban olyan, hallgatók által szervezett tudományos jellegű rendezvények díjazása, melyek fókuszában valamely társadalmi, közéleti, tudományos közéleti aktuális téma feldolgozása áll, vagy amelyek egy adott témát újszerűen, innovatív módon közelítenek meg. A pályázat a szervezőket jutalmazza. </w:t>
      </w:r>
    </w:p>
    <w:p w14:paraId="456F46D3" w14:textId="7CB5A403" w:rsidR="00105E33" w:rsidRDefault="00D756E9">
      <w:pPr>
        <w:spacing w:after="158" w:line="258" w:lineRule="auto"/>
        <w:ind w:left="456" w:right="0"/>
        <w:jc w:val="left"/>
      </w:pPr>
      <w:r>
        <w:rPr>
          <w:b/>
        </w:rPr>
        <w:t xml:space="preserve">Pályázni csak a 2020. szeptember 1. és 2021. szeptember 1. között megrendezett programokkal lehet! </w:t>
      </w:r>
    </w:p>
    <w:p w14:paraId="58FCE12C" w14:textId="77777777" w:rsidR="00105E33" w:rsidRDefault="00D756E9">
      <w:pPr>
        <w:spacing w:after="220"/>
        <w:ind w:right="2"/>
      </w:pPr>
      <w:r>
        <w:t xml:space="preserve">Figyelem: ugyanazon rendezvényre vonatkozó pályázat a Tudományos és Tehetséggondozó Bizottság által kiírt pályázatok közül csak egyen bírálható el, a többszörös benyújtás az összes pályázat tekintetében automatikus kizárást von maga után! </w:t>
      </w:r>
    </w:p>
    <w:p w14:paraId="78572AA0" w14:textId="77777777" w:rsidR="00105E33" w:rsidRDefault="00D756E9">
      <w:pPr>
        <w:spacing w:after="0" w:line="259" w:lineRule="auto"/>
        <w:ind w:left="456" w:right="0"/>
        <w:jc w:val="left"/>
      </w:pPr>
      <w:r>
        <w:rPr>
          <w:b/>
        </w:rPr>
        <w:t>I.</w:t>
      </w:r>
      <w:r>
        <w:rPr>
          <w:rFonts w:ascii="Arial" w:eastAsia="Arial" w:hAnsi="Arial" w:cs="Arial"/>
          <w:b/>
        </w:rPr>
        <w:t xml:space="preserve"> </w:t>
      </w:r>
      <w:r>
        <w:rPr>
          <w:b/>
        </w:rPr>
        <w:t xml:space="preserve">A </w:t>
      </w:r>
      <w:r>
        <w:rPr>
          <w:b/>
          <w:sz w:val="18"/>
        </w:rPr>
        <w:t>PÁLYÁZÓK KÖRE</w:t>
      </w:r>
      <w:r>
        <w:rPr>
          <w:b/>
        </w:rPr>
        <w:t xml:space="preserve">: </w:t>
      </w:r>
    </w:p>
    <w:p w14:paraId="430B2D91" w14:textId="77777777" w:rsidR="00105E33" w:rsidRDefault="00D756E9">
      <w:pPr>
        <w:spacing w:after="0" w:line="259" w:lineRule="auto"/>
        <w:ind w:left="0" w:right="0" w:firstLine="0"/>
        <w:jc w:val="left"/>
      </w:pPr>
      <w:r>
        <w:rPr>
          <w:b/>
          <w:sz w:val="21"/>
        </w:rPr>
        <w:t xml:space="preserve"> </w:t>
      </w:r>
    </w:p>
    <w:p w14:paraId="2CBD1231" w14:textId="77777777" w:rsidR="00D756E9" w:rsidRDefault="00D756E9">
      <w:pPr>
        <w:spacing w:after="0" w:line="477" w:lineRule="auto"/>
        <w:ind w:right="1502"/>
      </w:pPr>
      <w:r>
        <w:t xml:space="preserve">Olyan rendezvények pályázhatnak, melyek szervezőinek legalább fele az ELTE polgára. </w:t>
      </w:r>
    </w:p>
    <w:p w14:paraId="1EDFEDD1" w14:textId="0F82ECA4" w:rsidR="00105E33" w:rsidRDefault="00D756E9">
      <w:pPr>
        <w:spacing w:after="0" w:line="477" w:lineRule="auto"/>
        <w:ind w:right="1502"/>
      </w:pPr>
      <w:r>
        <w:rPr>
          <w:b/>
        </w:rPr>
        <w:t>II.</w:t>
      </w:r>
      <w:r>
        <w:rPr>
          <w:rFonts w:ascii="Arial" w:eastAsia="Arial" w:hAnsi="Arial" w:cs="Arial"/>
          <w:b/>
        </w:rPr>
        <w:t xml:space="preserve"> </w:t>
      </w:r>
      <w:r>
        <w:rPr>
          <w:b/>
        </w:rPr>
        <w:t xml:space="preserve">A </w:t>
      </w:r>
      <w:r>
        <w:rPr>
          <w:b/>
          <w:sz w:val="18"/>
        </w:rPr>
        <w:t>BÍRÁLAT SZEMPONTJAI ÉS A PONTOZÁS SORÁN VIZSGÁLT TÉNYEZŐK</w:t>
      </w:r>
      <w:r>
        <w:rPr>
          <w:b/>
        </w:rPr>
        <w:t xml:space="preserve">: </w:t>
      </w:r>
    </w:p>
    <w:p w14:paraId="0FB3321C" w14:textId="77777777" w:rsidR="00105E33" w:rsidRDefault="00D756E9">
      <w:pPr>
        <w:spacing w:after="0" w:line="259" w:lineRule="auto"/>
        <w:ind w:left="0" w:right="0" w:firstLine="0"/>
        <w:jc w:val="left"/>
      </w:pPr>
      <w:r>
        <w:rPr>
          <w:b/>
          <w:sz w:val="28"/>
        </w:rPr>
        <w:t xml:space="preserve"> </w:t>
      </w:r>
    </w:p>
    <w:p w14:paraId="68962513" w14:textId="77777777" w:rsidR="00105E33" w:rsidRDefault="00D756E9">
      <w:pPr>
        <w:pStyle w:val="Cmsor1"/>
        <w:ind w:left="456"/>
      </w:pPr>
      <w:r>
        <w:t>1.</w:t>
      </w:r>
      <w:r>
        <w:rPr>
          <w:rFonts w:ascii="Arial" w:eastAsia="Arial" w:hAnsi="Arial" w:cs="Arial"/>
        </w:rPr>
        <w:t xml:space="preserve"> </w:t>
      </w:r>
      <w:r>
        <w:t xml:space="preserve">Tudományos-szakmai minőség (max. 60 pont, mely a kategória részpontjaiból adódik össze) </w:t>
      </w:r>
    </w:p>
    <w:p w14:paraId="63193FFD" w14:textId="77777777" w:rsidR="00105E33" w:rsidRDefault="00D756E9">
      <w:pPr>
        <w:numPr>
          <w:ilvl w:val="0"/>
          <w:numId w:val="1"/>
        </w:numPr>
        <w:ind w:left="1167" w:right="2" w:hanging="361"/>
      </w:pPr>
      <w:r>
        <w:t xml:space="preserve">A téma újszerűsége, a megközelítés innovatív jellege (max. 20 pont) </w:t>
      </w:r>
    </w:p>
    <w:p w14:paraId="5AB8B0F0" w14:textId="77777777" w:rsidR="00105E33" w:rsidRDefault="00D756E9">
      <w:pPr>
        <w:numPr>
          <w:ilvl w:val="0"/>
          <w:numId w:val="1"/>
        </w:numPr>
        <w:ind w:left="1167" w:right="2" w:hanging="361"/>
      </w:pPr>
      <w:r>
        <w:t xml:space="preserve">Tudományos fokozattal rendelkező előadók száma (max. 10 pont) </w:t>
      </w:r>
    </w:p>
    <w:p w14:paraId="7A68D3D5" w14:textId="4C1FB51B" w:rsidR="00105E33" w:rsidRDefault="00D756E9">
      <w:pPr>
        <w:numPr>
          <w:ilvl w:val="0"/>
          <w:numId w:val="1"/>
        </w:numPr>
        <w:ind w:left="1167" w:right="2" w:hanging="361"/>
      </w:pPr>
      <w:r>
        <w:t>Inter- és multidiszciplinaritás</w:t>
      </w:r>
      <w:r w:rsidRPr="1D4CCBEE">
        <w:rPr>
          <w:rStyle w:val="Lbjegyzet-hivatkozs"/>
        </w:rPr>
        <w:footnoteReference w:id="1"/>
      </w:r>
      <w:r>
        <w:t xml:space="preserve"> (max. 10 pont) </w:t>
      </w:r>
    </w:p>
    <w:p w14:paraId="22937AC2" w14:textId="77777777" w:rsidR="00105E33" w:rsidRDefault="00D756E9">
      <w:pPr>
        <w:numPr>
          <w:ilvl w:val="0"/>
          <w:numId w:val="1"/>
        </w:numPr>
        <w:ind w:left="1167" w:right="2" w:hanging="361"/>
      </w:pPr>
      <w:r>
        <w:t xml:space="preserve">Nemzetköziség, egyetemköziség (max. 10 pont) </w:t>
      </w:r>
    </w:p>
    <w:p w14:paraId="0ED91901" w14:textId="77777777" w:rsidR="00105E33" w:rsidRDefault="00D756E9">
      <w:pPr>
        <w:numPr>
          <w:ilvl w:val="0"/>
          <w:numId w:val="1"/>
        </w:numPr>
        <w:spacing w:after="17"/>
        <w:ind w:left="1167" w:right="2" w:hanging="361"/>
      </w:pPr>
      <w:r>
        <w:t xml:space="preserve">Együttműködés más szakmai, illetve civil szervezetekkel (max. 10 pont) </w:t>
      </w:r>
    </w:p>
    <w:p w14:paraId="39A0FB81" w14:textId="77777777" w:rsidR="00105E33" w:rsidRDefault="00D756E9">
      <w:pPr>
        <w:pStyle w:val="Cmsor1"/>
        <w:ind w:left="456"/>
      </w:pPr>
      <w:r>
        <w:t>2.</w:t>
      </w:r>
      <w:r>
        <w:rPr>
          <w:rFonts w:ascii="Arial" w:eastAsia="Arial" w:hAnsi="Arial" w:cs="Arial"/>
        </w:rPr>
        <w:t xml:space="preserve"> </w:t>
      </w:r>
      <w:r>
        <w:t xml:space="preserve">Tehetséggondozási funkciók (max. 25 pont, mely a kategória részpontjaiból adódik össze) </w:t>
      </w:r>
    </w:p>
    <w:p w14:paraId="6FDD49EB" w14:textId="77777777" w:rsidR="00105E33" w:rsidRDefault="00D756E9">
      <w:pPr>
        <w:numPr>
          <w:ilvl w:val="0"/>
          <w:numId w:val="2"/>
        </w:numPr>
        <w:ind w:left="1167" w:right="2" w:hanging="361"/>
      </w:pPr>
      <w:r>
        <w:t xml:space="preserve">A hallgatói előadók létszáma (max. 10 pont) </w:t>
      </w:r>
    </w:p>
    <w:p w14:paraId="1769B635" w14:textId="77777777" w:rsidR="00105E33" w:rsidRDefault="00D756E9">
      <w:pPr>
        <w:numPr>
          <w:ilvl w:val="0"/>
          <w:numId w:val="2"/>
        </w:numPr>
        <w:ind w:left="1167" w:right="2" w:hanging="361"/>
      </w:pPr>
      <w:r>
        <w:t xml:space="preserve">A hallgatói szervezők létszáma (max. 10 pont) </w:t>
      </w:r>
    </w:p>
    <w:p w14:paraId="4D7FD037" w14:textId="77777777" w:rsidR="00105E33" w:rsidRDefault="00D756E9">
      <w:pPr>
        <w:numPr>
          <w:ilvl w:val="0"/>
          <w:numId w:val="2"/>
        </w:numPr>
        <w:spacing w:after="17"/>
        <w:ind w:left="1167" w:right="2" w:hanging="361"/>
      </w:pPr>
      <w:r>
        <w:t xml:space="preserve">Publikációs lehetőség biztosítása (pl.: tanulmánykötet) (max. 5 pont) </w:t>
      </w:r>
    </w:p>
    <w:p w14:paraId="3B63BA54" w14:textId="77777777" w:rsidR="00105E33" w:rsidRDefault="00D756E9">
      <w:pPr>
        <w:pStyle w:val="Cmsor1"/>
        <w:ind w:left="456"/>
      </w:pPr>
      <w:r>
        <w:t>3.</w:t>
      </w:r>
      <w:r>
        <w:rPr>
          <w:rFonts w:ascii="Arial" w:eastAsia="Arial" w:hAnsi="Arial" w:cs="Arial"/>
        </w:rPr>
        <w:t xml:space="preserve"> </w:t>
      </w:r>
      <w:r>
        <w:t xml:space="preserve">Szervezettség (max. 25 pont, mely a kategória részpontjaiból adódik össze) </w:t>
      </w:r>
    </w:p>
    <w:p w14:paraId="7BEFF504" w14:textId="77777777" w:rsidR="00105E33" w:rsidRDefault="00D756E9">
      <w:pPr>
        <w:numPr>
          <w:ilvl w:val="0"/>
          <w:numId w:val="3"/>
        </w:numPr>
        <w:ind w:left="1167" w:right="2" w:hanging="361"/>
      </w:pPr>
      <w:r>
        <w:t xml:space="preserve">A rendezvény látogatottsága (max. 10 pont) </w:t>
      </w:r>
    </w:p>
    <w:p w14:paraId="3F9785C0" w14:textId="77777777" w:rsidR="00105E33" w:rsidRDefault="00D756E9">
      <w:pPr>
        <w:numPr>
          <w:ilvl w:val="0"/>
          <w:numId w:val="3"/>
        </w:numPr>
        <w:ind w:left="1167" w:right="2" w:hanging="361"/>
      </w:pPr>
      <w:r>
        <w:lastRenderedPageBreak/>
        <w:t xml:space="preserve">A rendezvény programjának felépítése, interaktivitása (max. 5 pont) </w:t>
      </w:r>
    </w:p>
    <w:p w14:paraId="6A6F06E5" w14:textId="77777777" w:rsidR="000779C7" w:rsidRDefault="00D756E9" w:rsidP="000779C7">
      <w:pPr>
        <w:numPr>
          <w:ilvl w:val="0"/>
          <w:numId w:val="3"/>
        </w:numPr>
        <w:ind w:left="1167" w:right="2" w:hanging="361"/>
      </w:pPr>
      <w:r>
        <w:t xml:space="preserve">A rendezvénnyel kapcsolatos média megjelenések száma (max. 5 pont) </w:t>
      </w:r>
    </w:p>
    <w:p w14:paraId="33F141DE" w14:textId="78FF04FB" w:rsidR="000779C7" w:rsidRDefault="00D756E9" w:rsidP="000779C7">
      <w:pPr>
        <w:numPr>
          <w:ilvl w:val="0"/>
          <w:numId w:val="3"/>
        </w:numPr>
        <w:ind w:left="1167" w:right="2" w:hanging="361"/>
      </w:pPr>
      <w:r>
        <w:t xml:space="preserve">Tartalmi reprezentáció (max. 5 pont) </w:t>
      </w:r>
    </w:p>
    <w:p w14:paraId="3A0871E8" w14:textId="56FC9BC9" w:rsidR="00105E33" w:rsidRDefault="00D756E9" w:rsidP="000779C7">
      <w:pPr>
        <w:spacing w:after="148" w:line="259" w:lineRule="auto"/>
        <w:ind w:left="0" w:right="0" w:firstLine="0"/>
        <w:jc w:val="left"/>
      </w:pPr>
      <w:r w:rsidRPr="000779C7">
        <w:rPr>
          <w:sz w:val="17"/>
        </w:rPr>
        <w:t xml:space="preserve"> </w:t>
      </w:r>
    </w:p>
    <w:p w14:paraId="710697A3" w14:textId="77777777" w:rsidR="00105E33" w:rsidRDefault="00D756E9">
      <w:pPr>
        <w:spacing w:after="274" w:line="259" w:lineRule="auto"/>
        <w:ind w:left="456" w:right="0"/>
        <w:jc w:val="left"/>
      </w:pPr>
      <w:r>
        <w:rPr>
          <w:b/>
        </w:rPr>
        <w:t xml:space="preserve">A </w:t>
      </w:r>
      <w:r>
        <w:rPr>
          <w:b/>
          <w:sz w:val="18"/>
        </w:rPr>
        <w:t>PÁLYÁZATNAK TARTALMAZNIA KELL</w:t>
      </w:r>
      <w:r>
        <w:rPr>
          <w:b/>
        </w:rPr>
        <w:t xml:space="preserve">: </w:t>
      </w:r>
    </w:p>
    <w:p w14:paraId="24F4378F" w14:textId="77777777" w:rsidR="00105E33" w:rsidRDefault="00D756E9">
      <w:pPr>
        <w:numPr>
          <w:ilvl w:val="0"/>
          <w:numId w:val="4"/>
        </w:numPr>
        <w:spacing w:after="109"/>
        <w:ind w:left="1167" w:right="2" w:hanging="361"/>
      </w:pPr>
      <w:r>
        <w:t xml:space="preserve">A rendezvényről szóló részletes beszámolót (különös tekintettel a következőkre: a rendezvény ideje, helye, az előadók és látogatók száma, részletes programbontás, a meghívott vendégek, előadók, opponensek, valamint a szakmai stáb tagjainak neve és beosztása) </w:t>
      </w:r>
    </w:p>
    <w:p w14:paraId="48043FCA" w14:textId="77777777" w:rsidR="00105E33" w:rsidRDefault="00D756E9">
      <w:pPr>
        <w:numPr>
          <w:ilvl w:val="0"/>
          <w:numId w:val="4"/>
        </w:numPr>
        <w:spacing w:after="110"/>
        <w:ind w:left="1167" w:right="2" w:hanging="361"/>
      </w:pPr>
      <w:r>
        <w:t xml:space="preserve">Egy minimum 1, maximum 3 oldalas kivonatot („absztraktot”) a rendezvény és az elhangzott előadások tematikájáról, a rendezvény céljáról és az elért eredményeiről, ebben részletesen megindokolva, hogy az adott rendezvény 1. témája 2. felépítése miért indokolja a pályázaton történő elismerést </w:t>
      </w:r>
    </w:p>
    <w:p w14:paraId="6610163A" w14:textId="77777777" w:rsidR="00105E33" w:rsidRDefault="00D756E9">
      <w:pPr>
        <w:numPr>
          <w:ilvl w:val="0"/>
          <w:numId w:val="4"/>
        </w:numPr>
        <w:spacing w:after="109"/>
        <w:ind w:left="1167" w:right="2" w:hanging="361"/>
      </w:pPr>
      <w:r>
        <w:t xml:space="preserve">A főszervező(k) és szervezők nevét, Neptun kódját, Neptun képzési kódját és a végzett tevékenységük rövid bemutatását </w:t>
      </w:r>
    </w:p>
    <w:p w14:paraId="123193DA" w14:textId="77777777" w:rsidR="00105E33" w:rsidRDefault="00D756E9">
      <w:pPr>
        <w:numPr>
          <w:ilvl w:val="0"/>
          <w:numId w:val="4"/>
        </w:numPr>
        <w:ind w:left="1167" w:right="2" w:hanging="361"/>
      </w:pPr>
      <w:r>
        <w:t xml:space="preserve">A rendezvény hirdetési felületei (például plakát, szórólap, honlapcím) </w:t>
      </w:r>
    </w:p>
    <w:p w14:paraId="1301D170" w14:textId="77777777" w:rsidR="00105E33" w:rsidRDefault="00D756E9">
      <w:pPr>
        <w:numPr>
          <w:ilvl w:val="0"/>
          <w:numId w:val="4"/>
        </w:numPr>
        <w:ind w:left="1167" w:right="2" w:hanging="361"/>
      </w:pPr>
      <w:r>
        <w:t xml:space="preserve">A rendezvényről, a rendezvényhez köthetően megjelent kiadványok </w:t>
      </w:r>
    </w:p>
    <w:p w14:paraId="47CC74DA" w14:textId="77777777" w:rsidR="00105E33" w:rsidRDefault="00D756E9">
      <w:pPr>
        <w:numPr>
          <w:ilvl w:val="0"/>
          <w:numId w:val="4"/>
        </w:numPr>
        <w:spacing w:after="0"/>
        <w:ind w:left="1167" w:right="2" w:hanging="361"/>
      </w:pPr>
      <w:r>
        <w:t xml:space="preserve">Sajtócikkek, beszámolók, videók, interjúk a rendezvénnyel kapcsolatban </w:t>
      </w:r>
    </w:p>
    <w:p w14:paraId="09ABADC2" w14:textId="77777777" w:rsidR="00105E33" w:rsidRDefault="00D756E9">
      <w:pPr>
        <w:spacing w:after="0" w:line="259" w:lineRule="auto"/>
        <w:ind w:left="0" w:right="0" w:firstLine="0"/>
        <w:jc w:val="left"/>
      </w:pPr>
      <w:r>
        <w:rPr>
          <w:sz w:val="28"/>
        </w:rPr>
        <w:t xml:space="preserve"> </w:t>
      </w:r>
    </w:p>
    <w:p w14:paraId="1A35A7CC" w14:textId="77777777" w:rsidR="00105E33" w:rsidRDefault="00D756E9">
      <w:pPr>
        <w:spacing w:after="36" w:line="259" w:lineRule="auto"/>
        <w:ind w:left="456" w:right="0"/>
        <w:jc w:val="left"/>
      </w:pPr>
      <w:r>
        <w:rPr>
          <w:b/>
        </w:rPr>
        <w:t>III.</w:t>
      </w:r>
      <w:r>
        <w:rPr>
          <w:rFonts w:ascii="Arial" w:eastAsia="Arial" w:hAnsi="Arial" w:cs="Arial"/>
          <w:b/>
        </w:rPr>
        <w:t xml:space="preserve"> </w:t>
      </w:r>
      <w:r>
        <w:rPr>
          <w:b/>
        </w:rPr>
        <w:t xml:space="preserve">A </w:t>
      </w:r>
      <w:r>
        <w:rPr>
          <w:b/>
          <w:sz w:val="18"/>
        </w:rPr>
        <w:t xml:space="preserve">PÁLYÁZAT LEADÁSA </w:t>
      </w:r>
    </w:p>
    <w:p w14:paraId="1772F90E" w14:textId="77777777" w:rsidR="00105E33" w:rsidRDefault="00D756E9">
      <w:pPr>
        <w:spacing w:after="0" w:line="259" w:lineRule="auto"/>
        <w:ind w:left="0" w:right="0" w:firstLine="0"/>
        <w:jc w:val="left"/>
      </w:pPr>
      <w:r>
        <w:rPr>
          <w:b/>
          <w:sz w:val="28"/>
        </w:rPr>
        <w:t xml:space="preserve"> </w:t>
      </w:r>
    </w:p>
    <w:p w14:paraId="30C94D8D" w14:textId="77777777" w:rsidR="00105E33" w:rsidRDefault="00D756E9">
      <w:pPr>
        <w:spacing w:after="1" w:line="258" w:lineRule="auto"/>
        <w:ind w:left="456" w:right="0"/>
        <w:jc w:val="left"/>
      </w:pPr>
      <w:r>
        <w:rPr>
          <w:b/>
        </w:rPr>
        <w:t>1.</w:t>
      </w:r>
      <w:r>
        <w:rPr>
          <w:rFonts w:ascii="Arial" w:eastAsia="Arial" w:hAnsi="Arial" w:cs="Arial"/>
          <w:b/>
        </w:rPr>
        <w:t xml:space="preserve"> </w:t>
      </w:r>
      <w:r>
        <w:rPr>
          <w:b/>
        </w:rPr>
        <w:t xml:space="preserve">A pályázat benyújtásának helye </w:t>
      </w:r>
    </w:p>
    <w:p w14:paraId="35B0EE4B" w14:textId="77777777" w:rsidR="00105E33" w:rsidRDefault="00D756E9">
      <w:pPr>
        <w:spacing w:after="0" w:line="259" w:lineRule="auto"/>
        <w:ind w:left="0" w:right="0" w:firstLine="0"/>
        <w:jc w:val="left"/>
      </w:pPr>
      <w:r>
        <w:rPr>
          <w:b/>
          <w:sz w:val="21"/>
        </w:rPr>
        <w:t xml:space="preserve"> </w:t>
      </w:r>
    </w:p>
    <w:p w14:paraId="5FB28571" w14:textId="77777777" w:rsidR="00105E33" w:rsidRDefault="00D756E9">
      <w:pPr>
        <w:spacing w:after="206"/>
        <w:ind w:right="2"/>
      </w:pPr>
      <w:r>
        <w:t xml:space="preserve">A pályázatokat a </w:t>
      </w:r>
      <w:r>
        <w:rPr>
          <w:b/>
        </w:rPr>
        <w:t xml:space="preserve">Neptun – Ügyintézés menü – Kérvények </w:t>
      </w:r>
      <w:r>
        <w:t xml:space="preserve">menüpontban lehet leadni. </w:t>
      </w:r>
    </w:p>
    <w:p w14:paraId="5EB623DB" w14:textId="77777777" w:rsidR="00105E33" w:rsidRDefault="00D756E9">
      <w:pPr>
        <w:pStyle w:val="Cmsor1"/>
        <w:spacing w:after="1"/>
        <w:ind w:left="456"/>
      </w:pPr>
      <w:r>
        <w:t>2.</w:t>
      </w:r>
      <w:r>
        <w:rPr>
          <w:rFonts w:ascii="Arial" w:eastAsia="Arial" w:hAnsi="Arial" w:cs="Arial"/>
        </w:rPr>
        <w:t xml:space="preserve"> </w:t>
      </w:r>
      <w:r>
        <w:t xml:space="preserve">A pályázat benyújtásának ideje </w:t>
      </w:r>
    </w:p>
    <w:p w14:paraId="0C8A604E" w14:textId="77777777" w:rsidR="00105E33" w:rsidRDefault="00D756E9">
      <w:pPr>
        <w:spacing w:after="0" w:line="259" w:lineRule="auto"/>
        <w:ind w:left="0" w:right="0" w:firstLine="0"/>
        <w:jc w:val="left"/>
      </w:pPr>
      <w:r>
        <w:rPr>
          <w:b/>
          <w:sz w:val="21"/>
        </w:rPr>
        <w:t xml:space="preserve"> </w:t>
      </w:r>
    </w:p>
    <w:p w14:paraId="305C38EA" w14:textId="77777777" w:rsidR="00D756E9" w:rsidRDefault="00D756E9">
      <w:pPr>
        <w:spacing w:after="264" w:line="230" w:lineRule="auto"/>
        <w:ind w:left="456" w:right="2942"/>
        <w:jc w:val="left"/>
      </w:pPr>
      <w:r>
        <w:t xml:space="preserve">Leadási időszak: 2021. november 25., 8.00 – 2021. december 01., 16.00 </w:t>
      </w:r>
    </w:p>
    <w:p w14:paraId="339D3859" w14:textId="452C4075" w:rsidR="00105E33" w:rsidRDefault="00D756E9">
      <w:pPr>
        <w:spacing w:after="264" w:line="230" w:lineRule="auto"/>
        <w:ind w:left="456" w:right="2942"/>
        <w:jc w:val="left"/>
      </w:pPr>
      <w:r>
        <w:t xml:space="preserve">A hiánypótlás vége: 2021. december 7., 16.00 </w:t>
      </w:r>
    </w:p>
    <w:p w14:paraId="31878806" w14:textId="77777777" w:rsidR="00105E33" w:rsidRDefault="00D756E9">
      <w:pPr>
        <w:spacing w:after="0" w:line="259" w:lineRule="auto"/>
        <w:ind w:left="456" w:right="0"/>
        <w:jc w:val="left"/>
      </w:pPr>
      <w:r>
        <w:rPr>
          <w:b/>
        </w:rPr>
        <w:t>IV.</w:t>
      </w:r>
      <w:r>
        <w:rPr>
          <w:rFonts w:ascii="Arial" w:eastAsia="Arial" w:hAnsi="Arial" w:cs="Arial"/>
          <w:b/>
        </w:rPr>
        <w:t xml:space="preserve"> </w:t>
      </w:r>
      <w:r>
        <w:rPr>
          <w:b/>
        </w:rPr>
        <w:t xml:space="preserve">A </w:t>
      </w:r>
      <w:r>
        <w:rPr>
          <w:b/>
          <w:sz w:val="18"/>
        </w:rPr>
        <w:t>PÁLYÁZAT DÍJAZÁSA</w:t>
      </w:r>
      <w:r>
        <w:rPr>
          <w:b/>
        </w:rPr>
        <w:t xml:space="preserve">, </w:t>
      </w:r>
      <w:r>
        <w:rPr>
          <w:b/>
          <w:sz w:val="18"/>
        </w:rPr>
        <w:t xml:space="preserve">EREDMÉNYHIRDETÉSE </w:t>
      </w:r>
    </w:p>
    <w:p w14:paraId="377A11EA" w14:textId="77777777" w:rsidR="00105E33" w:rsidRDefault="00D756E9">
      <w:pPr>
        <w:spacing w:after="0" w:line="259" w:lineRule="auto"/>
        <w:ind w:left="0" w:right="0" w:firstLine="0"/>
        <w:jc w:val="left"/>
      </w:pPr>
      <w:r>
        <w:rPr>
          <w:b/>
          <w:sz w:val="21"/>
        </w:rPr>
        <w:t xml:space="preserve"> </w:t>
      </w:r>
    </w:p>
    <w:p w14:paraId="610E1FA3" w14:textId="33C78EF8" w:rsidR="00105E33" w:rsidRDefault="00D756E9">
      <w:pPr>
        <w:spacing w:after="218"/>
        <w:ind w:right="2"/>
      </w:pPr>
      <w:r>
        <w:t xml:space="preserve">A pályázat eredményhirdetése 2021. december végén várható. A pályázatok bírálása az ELTE HÖK Tudományos és Tehetséggondozási Bizottságának együttműködésével történik, a pályázati kiírásban foglalt bírálati rend és szempontrendszer szerint. </w:t>
      </w:r>
    </w:p>
    <w:p w14:paraId="75E0A40D" w14:textId="77777777" w:rsidR="00105E33" w:rsidRDefault="00D756E9">
      <w:pPr>
        <w:spacing w:after="116" w:line="259" w:lineRule="auto"/>
        <w:ind w:left="456" w:right="0"/>
        <w:jc w:val="left"/>
      </w:pPr>
      <w:r>
        <w:rPr>
          <w:b/>
        </w:rPr>
        <w:t>V.</w:t>
      </w:r>
      <w:r>
        <w:rPr>
          <w:rFonts w:ascii="Arial" w:eastAsia="Arial" w:hAnsi="Arial" w:cs="Arial"/>
          <w:b/>
        </w:rPr>
        <w:t xml:space="preserve"> </w:t>
      </w:r>
      <w:r>
        <w:rPr>
          <w:b/>
        </w:rPr>
        <w:t>D</w:t>
      </w:r>
      <w:r>
        <w:rPr>
          <w:b/>
          <w:sz w:val="18"/>
        </w:rPr>
        <w:t>ÍJAZÁS</w:t>
      </w:r>
      <w:r>
        <w:rPr>
          <w:b/>
        </w:rPr>
        <w:t xml:space="preserve">: </w:t>
      </w:r>
    </w:p>
    <w:p w14:paraId="46027FE2" w14:textId="2BBCF1FA" w:rsidR="00105E33" w:rsidRDefault="00D756E9">
      <w:pPr>
        <w:numPr>
          <w:ilvl w:val="0"/>
          <w:numId w:val="5"/>
        </w:numPr>
        <w:ind w:left="1167" w:right="2" w:hanging="361"/>
      </w:pPr>
      <w:r>
        <w:t xml:space="preserve">az első helyezett 100.000 forintos, </w:t>
      </w:r>
    </w:p>
    <w:p w14:paraId="68F0D000" w14:textId="25807B89" w:rsidR="00105E33" w:rsidRDefault="00D756E9">
      <w:pPr>
        <w:numPr>
          <w:ilvl w:val="0"/>
          <w:numId w:val="5"/>
        </w:numPr>
        <w:ind w:left="1167" w:right="2" w:hanging="361"/>
      </w:pPr>
      <w:r>
        <w:t xml:space="preserve">a második helyezett 75.000 forintos, </w:t>
      </w:r>
    </w:p>
    <w:p w14:paraId="7968741A" w14:textId="54E44EF5" w:rsidR="00105E33" w:rsidRDefault="00D756E9">
      <w:pPr>
        <w:numPr>
          <w:ilvl w:val="0"/>
          <w:numId w:val="5"/>
        </w:numPr>
        <w:spacing w:after="195" w:line="230" w:lineRule="auto"/>
        <w:ind w:left="1167" w:right="2" w:hanging="361"/>
      </w:pPr>
      <w:r>
        <w:t xml:space="preserve">a harmadik helyezett 50.000 forintos jutalomban részesül </w:t>
      </w:r>
    </w:p>
    <w:p w14:paraId="6D0B0CC7" w14:textId="36C80FFD" w:rsidR="00105E33" w:rsidRDefault="00D756E9" w:rsidP="00D756E9">
      <w:pPr>
        <w:spacing w:after="3628"/>
        <w:ind w:right="2"/>
      </w:pPr>
      <w:r>
        <w:t xml:space="preserve">A pályázattal kapcsolatos tudnivalókról érdeklődni lehet a tudomany@ehok.elte.hu e-mail címen. </w:t>
      </w:r>
    </w:p>
    <w:sectPr w:rsidR="00105E33">
      <w:pgSz w:w="11899" w:h="16838"/>
      <w:pgMar w:top="1397" w:right="1387" w:bottom="842" w:left="8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7DE7" w14:textId="77777777" w:rsidR="00F1366F" w:rsidRDefault="00F1366F">
      <w:pPr>
        <w:spacing w:after="0" w:line="240" w:lineRule="auto"/>
      </w:pPr>
      <w:r>
        <w:separator/>
      </w:r>
    </w:p>
  </w:endnote>
  <w:endnote w:type="continuationSeparator" w:id="0">
    <w:p w14:paraId="18918ED0" w14:textId="77777777" w:rsidR="00F1366F" w:rsidRDefault="00F1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C175" w14:textId="77777777" w:rsidR="00F1366F" w:rsidRDefault="00F1366F">
      <w:pPr>
        <w:spacing w:after="0" w:line="240" w:lineRule="auto"/>
      </w:pPr>
      <w:r>
        <w:separator/>
      </w:r>
    </w:p>
  </w:footnote>
  <w:footnote w:type="continuationSeparator" w:id="0">
    <w:p w14:paraId="61F8341A" w14:textId="77777777" w:rsidR="00F1366F" w:rsidRDefault="00F1366F">
      <w:pPr>
        <w:spacing w:after="0" w:line="240" w:lineRule="auto"/>
      </w:pPr>
      <w:r>
        <w:continuationSeparator/>
      </w:r>
    </w:p>
  </w:footnote>
  <w:footnote w:id="1">
    <w:p w14:paraId="08CD1D55" w14:textId="63CBBE5C" w:rsidR="1D4CCBEE" w:rsidRDefault="1D4CCBEE" w:rsidP="1D4CCBEE">
      <w:pPr>
        <w:spacing w:before="250"/>
        <w:ind w:left="461" w:right="1236"/>
        <w:rPr>
          <w:color w:val="000000" w:themeColor="text1"/>
          <w:sz w:val="20"/>
          <w:szCs w:val="20"/>
        </w:rPr>
      </w:pPr>
      <w:r w:rsidRPr="1D4CCBEE">
        <w:rPr>
          <w:rStyle w:val="Lbjegyzet-hivatkozs"/>
          <w:color w:val="000000" w:themeColor="text1"/>
          <w:sz w:val="20"/>
          <w:szCs w:val="20"/>
        </w:rPr>
        <w:footnoteRef/>
      </w:r>
      <w:r w:rsidRPr="1D4CCBEE">
        <w:rPr>
          <w:color w:val="000000" w:themeColor="text1"/>
          <w:sz w:val="20"/>
          <w:szCs w:val="20"/>
        </w:rPr>
        <w:t xml:space="preserve"> </w:t>
      </w:r>
      <w:r w:rsidRPr="1D4CCBEE">
        <w:rPr>
          <w:color w:val="000000" w:themeColor="text1"/>
        </w:rPr>
        <w:t>Inter- és/vagy multidiszciplinárisnak az a rendezvény minősül, mely egy adott tudományterületen belül több részterületet vonultat fel, vagy több tudományterületet foglal magába, vagy adott témakört egyszerre több tudományterületi megközelítésből tárgyal.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A9F"/>
    <w:multiLevelType w:val="hybridMultilevel"/>
    <w:tmpl w:val="9B3A867A"/>
    <w:lvl w:ilvl="0" w:tplc="78723B7E">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8CD0E">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CEE382">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48AE66">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8128A">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54A7DE">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74B536">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EE806">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4C170E">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9020EB"/>
    <w:multiLevelType w:val="hybridMultilevel"/>
    <w:tmpl w:val="1FF080F6"/>
    <w:lvl w:ilvl="0" w:tplc="C7F46A96">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45022">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439A4">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A6906">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74FA7A">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EEC78">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9AE1FA">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AE850">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C6CA8">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382E91"/>
    <w:multiLevelType w:val="hybridMultilevel"/>
    <w:tmpl w:val="7376E17C"/>
    <w:lvl w:ilvl="0" w:tplc="D3DE9BD8">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4BFC4">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E4EFE">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7A36A2">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C9AE4">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3EC86E">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2ADE5A">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083D72">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7CF9B6">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0922BB"/>
    <w:multiLevelType w:val="hybridMultilevel"/>
    <w:tmpl w:val="1E4CA2C6"/>
    <w:lvl w:ilvl="0" w:tplc="07B06F34">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4A726">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A0D7BC">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64AD4C">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4D066">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B27EC6">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D074E8">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8ECAE">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C07526">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124C18"/>
    <w:multiLevelType w:val="hybridMultilevel"/>
    <w:tmpl w:val="1550F412"/>
    <w:lvl w:ilvl="0" w:tplc="1DAE163A">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6CE5E4">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60D952">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EDCC8">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2AC4A">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094CC">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D6B65C">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C4582">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84F456">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33"/>
    <w:rsid w:val="000779C7"/>
    <w:rsid w:val="00105E33"/>
    <w:rsid w:val="00D756E9"/>
    <w:rsid w:val="00F1366F"/>
    <w:rsid w:val="1D4CCB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9D35"/>
  <w15:docId w15:val="{85BEA0FD-F371-4D11-A634-10A21C57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62" w:line="264" w:lineRule="auto"/>
      <w:ind w:left="471" w:right="17" w:hanging="10"/>
      <w:jc w:val="both"/>
    </w:pPr>
    <w:rPr>
      <w:rFonts w:ascii="Garamond" w:eastAsia="Garamond" w:hAnsi="Garamond" w:cs="Garamond"/>
      <w:color w:val="000000"/>
    </w:rPr>
  </w:style>
  <w:style w:type="paragraph" w:styleId="Cmsor1">
    <w:name w:val="heading 1"/>
    <w:next w:val="Norml"/>
    <w:link w:val="Cmsor1Char"/>
    <w:uiPriority w:val="9"/>
    <w:qFormat/>
    <w:pPr>
      <w:keepNext/>
      <w:keepLines/>
      <w:spacing w:after="112" w:line="258" w:lineRule="auto"/>
      <w:ind w:left="471" w:hanging="10"/>
      <w:outlineLvl w:val="0"/>
    </w:pPr>
    <w:rPr>
      <w:rFonts w:ascii="Garamond" w:eastAsia="Garamond" w:hAnsi="Garamond" w:cs="Garamond"/>
      <w:b/>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Garamond" w:eastAsia="Garamond" w:hAnsi="Garamond" w:cs="Garamond"/>
      <w:b/>
      <w:color w:val="000000"/>
      <w:sz w:val="22"/>
    </w:rPr>
  </w:style>
  <w:style w:type="character" w:styleId="Lbjegyzet-hivatkozs">
    <w:name w:val="footnote reference"/>
    <w:basedOn w:val="Bekezdsalapbettpusa"/>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2DFB8EDEE836E44E9FCDFE149B81D981" ma:contentTypeVersion="4" ma:contentTypeDescription="Új dokumentum létrehozása." ma:contentTypeScope="" ma:versionID="8a2bc178745acee4884052961884ee22">
  <xsd:schema xmlns:xsd="http://www.w3.org/2001/XMLSchema" xmlns:xs="http://www.w3.org/2001/XMLSchema" xmlns:p="http://schemas.microsoft.com/office/2006/metadata/properties" xmlns:ns2="621caef4-0bdc-417b-945f-a52738ba024e" targetNamespace="http://schemas.microsoft.com/office/2006/metadata/properties" ma:root="true" ma:fieldsID="b17367c5cdc9b1998b3bc74b3bf52d2f" ns2:_="">
    <xsd:import namespace="621caef4-0bdc-417b-945f-a52738ba02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caef4-0bdc-417b-945f-a52738ba0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3559A-C522-4077-8373-7D2010662A8F}">
  <ds:schemaRefs>
    <ds:schemaRef ds:uri="http://schemas.microsoft.com/sharepoint/v3/contenttype/forms"/>
  </ds:schemaRefs>
</ds:datastoreItem>
</file>

<file path=customXml/itemProps2.xml><?xml version="1.0" encoding="utf-8"?>
<ds:datastoreItem xmlns:ds="http://schemas.openxmlformats.org/officeDocument/2006/customXml" ds:itemID="{F475E0B9-FA7B-408E-8657-7D05681D5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caef4-0bdc-417b-945f-a52738ba0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5856-E6EC-4156-8075-2154B3F6DF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3164</Characters>
  <Application>Microsoft Office Word</Application>
  <DocSecurity>0</DocSecurity>
  <Lines>26</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cp:lastModifiedBy>Horváth Tünde</cp:lastModifiedBy>
  <cp:revision>4</cp:revision>
  <dcterms:created xsi:type="dcterms:W3CDTF">2021-10-25T20:12:00Z</dcterms:created>
  <dcterms:modified xsi:type="dcterms:W3CDTF">2021-11-17T17:37:00Z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0x0101002DFB8EDEE836E44E9FCDFE149B81D981</vt:lpwstr>
  </property>
</Properties>
</file>